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1329" w14:textId="77777777" w:rsidR="00DB58EF" w:rsidRDefault="000B489D">
      <w:pPr>
        <w:snapToGrid w:val="0"/>
        <w:spacing w:line="640" w:lineRule="exact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附件1</w:t>
      </w:r>
    </w:p>
    <w:p w14:paraId="6293D313" w14:textId="77777777" w:rsidR="00DB58EF" w:rsidRDefault="000B489D">
      <w:pPr>
        <w:snapToGrid w:val="0"/>
        <w:spacing w:line="640" w:lineRule="exact"/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b/>
          <w:bCs/>
          <w:sz w:val="32"/>
          <w:szCs w:val="32"/>
        </w:rPr>
        <w:t>四川天府老龄产业发展研究中心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2021</w:t>
      </w:r>
      <w:r>
        <w:rPr>
          <w:rFonts w:ascii="宋体" w:eastAsia="宋体" w:hAnsi="宋体" w:cs="Times New Roman"/>
          <w:b/>
          <w:bCs/>
          <w:sz w:val="32"/>
          <w:szCs w:val="32"/>
        </w:rPr>
        <w:t>年课题选题</w:t>
      </w:r>
    </w:p>
    <w:p w14:paraId="5C156F2B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高校产学研合作教学资源共享的实践研究</w:t>
      </w:r>
    </w:p>
    <w:p w14:paraId="3D56BAB5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/>
          <w:color w:val="111F2C"/>
          <w:szCs w:val="21"/>
          <w:shd w:val="clear" w:color="auto" w:fill="FFFFFF"/>
        </w:rPr>
        <w:t>养老</w:t>
      </w: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领域应用型专业人才培养模式改革研究与实践</w:t>
      </w:r>
    </w:p>
    <w:p w14:paraId="434595C9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养老产业发展路径及保障体系研究</w:t>
      </w:r>
    </w:p>
    <w:p w14:paraId="5F90064D" w14:textId="2105EBAE" w:rsidR="00DB58EF" w:rsidRDefault="0080776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社会工作服务在积极应对人口老龄化中的作用及机制研究</w:t>
      </w:r>
    </w:p>
    <w:p w14:paraId="334EA059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普惠</w:t>
      </w:r>
      <w:proofErr w:type="gramStart"/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养老城企联动</w:t>
      </w:r>
      <w:proofErr w:type="gramEnd"/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机制研究</w:t>
      </w:r>
    </w:p>
    <w:p w14:paraId="6A6A5125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养老机构社会工作服务建构</w:t>
      </w:r>
    </w:p>
    <w:p w14:paraId="0BB7D7FA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老年友好型社会建构</w:t>
      </w:r>
    </w:p>
    <w:p w14:paraId="26E55C00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积极老龄化视角下老年人力资源开发研究</w:t>
      </w:r>
    </w:p>
    <w:p w14:paraId="48073F18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养老护理型人才培养研究</w:t>
      </w:r>
    </w:p>
    <w:p w14:paraId="590C666A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居家、社区、机构三位一体的养老服务体系建构</w:t>
      </w:r>
    </w:p>
    <w:p w14:paraId="4BC1E386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专业机构养老服务的社区介入机制</w:t>
      </w:r>
    </w:p>
    <w:p w14:paraId="68425E8C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公办养老机构改革</w:t>
      </w:r>
    </w:p>
    <w:p w14:paraId="55321D04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留守老人探访关爱制度建设</w:t>
      </w:r>
    </w:p>
    <w:p w14:paraId="7E8FFB77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延迟退休的社会效应</w:t>
      </w:r>
    </w:p>
    <w:p w14:paraId="74AEFC56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proofErr w:type="gramStart"/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适</w:t>
      </w:r>
      <w:proofErr w:type="gramEnd"/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老化技术和产品的开发与应用</w:t>
      </w:r>
    </w:p>
    <w:p w14:paraId="78137609" w14:textId="77777777" w:rsidR="00DB58EF" w:rsidRDefault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>
        <w:rPr>
          <w:rFonts w:ascii="宋体" w:eastAsia="宋体" w:hAnsi="宋体" w:hint="eastAsia"/>
          <w:color w:val="111F2C"/>
          <w:szCs w:val="21"/>
          <w:shd w:val="clear" w:color="auto" w:fill="FFFFFF"/>
        </w:rPr>
        <w:t>养老新业态（银发经济、适老化技术和产品、智慧养老）</w:t>
      </w:r>
    </w:p>
    <w:p w14:paraId="76F4DFFA" w14:textId="2D32A194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心理护理及健康教育对老年慢性病患者护理效果研究</w:t>
      </w:r>
    </w:p>
    <w:p w14:paraId="07F360F3" w14:textId="010167FD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中医联合护理对老年病者情绪、行为及生活质量的影响</w:t>
      </w:r>
    </w:p>
    <w:p w14:paraId="53F1F384" w14:textId="37DADEC2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早期康复护理对老年创伤性手术后疼痛及生活质量的影响</w:t>
      </w:r>
    </w:p>
    <w:p w14:paraId="2430A695" w14:textId="2C267F40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lastRenderedPageBreak/>
        <w:t>叙事医学在我国老年医疗照护中的作用</w:t>
      </w:r>
    </w:p>
    <w:p w14:paraId="5E258DBD" w14:textId="26424E36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老年病区</w:t>
      </w:r>
      <w:r w:rsidRPr="000B489D">
        <w:rPr>
          <w:rFonts w:ascii="宋体" w:eastAsia="宋体" w:hAnsi="宋体"/>
          <w:color w:val="111F2C"/>
          <w:szCs w:val="21"/>
          <w:shd w:val="clear" w:color="auto" w:fill="FFFFFF"/>
        </w:rPr>
        <w:t>PICC导管护理的</w:t>
      </w:r>
      <w:proofErr w:type="gramStart"/>
      <w:r w:rsidRPr="000B489D">
        <w:rPr>
          <w:rFonts w:ascii="宋体" w:eastAsia="宋体" w:hAnsi="宋体"/>
          <w:color w:val="111F2C"/>
          <w:szCs w:val="21"/>
          <w:shd w:val="clear" w:color="auto" w:fill="FFFFFF"/>
        </w:rPr>
        <w:t>集束化护理</w:t>
      </w:r>
      <w:proofErr w:type="gramEnd"/>
      <w:r w:rsidRPr="000B489D">
        <w:rPr>
          <w:rFonts w:ascii="宋体" w:eastAsia="宋体" w:hAnsi="宋体"/>
          <w:color w:val="111F2C"/>
          <w:szCs w:val="21"/>
          <w:shd w:val="clear" w:color="auto" w:fill="FFFFFF"/>
        </w:rPr>
        <w:t>模式</w:t>
      </w:r>
    </w:p>
    <w:p w14:paraId="6FD812A6" w14:textId="2F9AE1DD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多元化护理干预对老年慢性病患者负性情绪的影响</w:t>
      </w:r>
    </w:p>
    <w:p w14:paraId="58FC2707" w14:textId="6EA202ED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多学科协同护理对老年慢性病患者</w:t>
      </w:r>
      <w:proofErr w:type="gramStart"/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遵医</w:t>
      </w:r>
      <w:proofErr w:type="gramEnd"/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行为及生活质量的影响</w:t>
      </w:r>
    </w:p>
    <w:p w14:paraId="1FEF0451" w14:textId="3911597A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精细化护理对慢性老年病者生存质量、情绪变化及尊严水平影响</w:t>
      </w:r>
    </w:p>
    <w:p w14:paraId="2BB64221" w14:textId="383155DF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空间理论下老年护理专业化队伍建设问题研究</w:t>
      </w:r>
    </w:p>
    <w:p w14:paraId="31182487" w14:textId="5B3CB576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高危老年压</w:t>
      </w:r>
      <w:proofErr w:type="gramStart"/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疮患者</w:t>
      </w:r>
      <w:proofErr w:type="gramEnd"/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心理护理的特点</w:t>
      </w:r>
    </w:p>
    <w:p w14:paraId="195FDB87" w14:textId="34A4A7EC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近年国内外老年居家护理的</w:t>
      </w:r>
      <w:r w:rsidRPr="000B489D">
        <w:rPr>
          <w:rFonts w:ascii="宋体" w:eastAsia="宋体" w:hAnsi="宋体"/>
          <w:color w:val="111F2C"/>
          <w:szCs w:val="21"/>
          <w:shd w:val="clear" w:color="auto" w:fill="FFFFFF"/>
        </w:rPr>
        <w:t>mate分析</w:t>
      </w:r>
    </w:p>
    <w:p w14:paraId="6FF58222" w14:textId="2A205C77" w:rsidR="000B489D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老年人运动认知功能减退综合征的研究</w:t>
      </w:r>
    </w:p>
    <w:p w14:paraId="3EA37DB5" w14:textId="7811EBC9" w:rsidR="00DB58EF" w:rsidRPr="000B489D" w:rsidRDefault="000B489D" w:rsidP="000B489D">
      <w:pPr>
        <w:numPr>
          <w:ilvl w:val="0"/>
          <w:numId w:val="1"/>
        </w:num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  <w:r w:rsidRPr="000B489D">
        <w:rPr>
          <w:rFonts w:ascii="宋体" w:eastAsia="宋体" w:hAnsi="宋体" w:hint="eastAsia"/>
          <w:color w:val="111F2C"/>
          <w:szCs w:val="21"/>
          <w:shd w:val="clear" w:color="auto" w:fill="FFFFFF"/>
        </w:rPr>
        <w:t>国外老年整合照顾需求评估经验及对我国的启示</w:t>
      </w:r>
    </w:p>
    <w:p w14:paraId="211A546F" w14:textId="77777777" w:rsidR="00DB58EF" w:rsidRDefault="00DB58EF">
      <w:p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</w:p>
    <w:sectPr w:rsidR="00DB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BAC93"/>
    <w:multiLevelType w:val="singleLevel"/>
    <w:tmpl w:val="5F0BAC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A9"/>
    <w:rsid w:val="000961C4"/>
    <w:rsid w:val="000B489D"/>
    <w:rsid w:val="00185625"/>
    <w:rsid w:val="001F54A8"/>
    <w:rsid w:val="00240E07"/>
    <w:rsid w:val="00253166"/>
    <w:rsid w:val="002C5F69"/>
    <w:rsid w:val="003105F0"/>
    <w:rsid w:val="003E4BD8"/>
    <w:rsid w:val="00431289"/>
    <w:rsid w:val="004862F6"/>
    <w:rsid w:val="004A33CA"/>
    <w:rsid w:val="004B4648"/>
    <w:rsid w:val="00607DCE"/>
    <w:rsid w:val="006C3AE1"/>
    <w:rsid w:val="006E0F8B"/>
    <w:rsid w:val="007C14ED"/>
    <w:rsid w:val="0080776D"/>
    <w:rsid w:val="008B1066"/>
    <w:rsid w:val="0098295F"/>
    <w:rsid w:val="00AA4617"/>
    <w:rsid w:val="00AF70B7"/>
    <w:rsid w:val="00B1013F"/>
    <w:rsid w:val="00BF72CE"/>
    <w:rsid w:val="00C054BC"/>
    <w:rsid w:val="00D06F8A"/>
    <w:rsid w:val="00DB58EF"/>
    <w:rsid w:val="00DC595D"/>
    <w:rsid w:val="00EC2AF9"/>
    <w:rsid w:val="00F047A9"/>
    <w:rsid w:val="00F40EC4"/>
    <w:rsid w:val="00F8704F"/>
    <w:rsid w:val="00FD6990"/>
    <w:rsid w:val="1F15069A"/>
    <w:rsid w:val="78E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200E1"/>
  <w15:docId w15:val="{80071591-827D-428F-9D98-11BD5A4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凤</dc:creator>
  <cp:lastModifiedBy>Yi Zhang</cp:lastModifiedBy>
  <cp:revision>20</cp:revision>
  <dcterms:created xsi:type="dcterms:W3CDTF">2019-03-26T06:41:00Z</dcterms:created>
  <dcterms:modified xsi:type="dcterms:W3CDTF">2021-04-15T04:31:00Z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B327949309CC47A9AA81223D84CC4E06</vt:lpwstr>
  </property>
</Properties>
</file>